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25" w:rsidRPr="00580425" w:rsidRDefault="00580425" w:rsidP="00580425">
      <w:pPr>
        <w:pStyle w:val="a5"/>
        <w:spacing w:line="360" w:lineRule="auto"/>
        <w:jc w:val="center"/>
        <w:rPr>
          <w:sz w:val="28"/>
          <w:szCs w:val="28"/>
        </w:rPr>
      </w:pPr>
      <w:r w:rsidRPr="00580425">
        <w:rPr>
          <w:sz w:val="28"/>
          <w:szCs w:val="28"/>
          <w:shd w:val="clear" w:color="auto" w:fill="FFFFFF"/>
        </w:rPr>
        <w:t>ОБОСНОВАНИЕ ИЗМЕНЕНИЯ СТРАТЕГИЧЕСКОГО ВЕКТОРА РАЗВИТИЯ КОМПАНИИ BRANDSON</w:t>
      </w:r>
    </w:p>
    <w:p w:rsidR="00580425" w:rsidRPr="00580425" w:rsidRDefault="00580425" w:rsidP="00580425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580425">
        <w:rPr>
          <w:rFonts w:ascii="Times New Roman" w:hAnsi="Times New Roman"/>
          <w:color w:val="auto"/>
        </w:rPr>
        <w:t>Содержание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Аннотация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Введение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 xml:space="preserve">Глава 1. Теоретические </w:t>
      </w:r>
      <w:r>
        <w:rPr>
          <w:sz w:val="28"/>
          <w:szCs w:val="28"/>
          <w:lang w:eastAsia="en-US"/>
        </w:rPr>
        <w:t>аспекты</w:t>
      </w:r>
      <w:r w:rsidRPr="00580425">
        <w:rPr>
          <w:sz w:val="28"/>
          <w:szCs w:val="28"/>
          <w:lang w:eastAsia="en-US"/>
        </w:rPr>
        <w:t xml:space="preserve"> разработки </w:t>
      </w:r>
      <w:r>
        <w:rPr>
          <w:sz w:val="28"/>
          <w:szCs w:val="28"/>
          <w:lang w:eastAsia="en-US"/>
        </w:rPr>
        <w:t xml:space="preserve">и реализации </w:t>
      </w:r>
      <w:r w:rsidRPr="00580425">
        <w:rPr>
          <w:sz w:val="28"/>
          <w:szCs w:val="28"/>
          <w:lang w:eastAsia="en-US"/>
        </w:rPr>
        <w:t>корпоративной стратегии</w:t>
      </w:r>
      <w:r>
        <w:rPr>
          <w:sz w:val="28"/>
          <w:szCs w:val="28"/>
          <w:lang w:eastAsia="en-US"/>
        </w:rPr>
        <w:t xml:space="preserve"> на предприятиях</w:t>
      </w:r>
    </w:p>
    <w:p w:rsidR="00580425" w:rsidRP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1.1 Определение, сущность, роль корпоративной стратегии</w:t>
      </w:r>
    </w:p>
    <w:p w:rsidR="00580425" w:rsidRP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1.2</w:t>
      </w:r>
      <w:r w:rsidRPr="00580425">
        <w:rPr>
          <w:sz w:val="28"/>
          <w:szCs w:val="28"/>
        </w:rPr>
        <w:t xml:space="preserve"> </w:t>
      </w:r>
      <w:r w:rsidRPr="00580425">
        <w:rPr>
          <w:sz w:val="28"/>
          <w:szCs w:val="28"/>
          <w:lang w:eastAsia="en-US"/>
        </w:rPr>
        <w:t>Особенности разработки корпоративной стратегии</w:t>
      </w:r>
    </w:p>
    <w:p w:rsidR="00580425" w:rsidRP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 xml:space="preserve">1.3 </w:t>
      </w:r>
      <w:r w:rsidRPr="00580425">
        <w:rPr>
          <w:sz w:val="28"/>
          <w:szCs w:val="28"/>
          <w:lang w:eastAsia="en-US"/>
        </w:rPr>
        <w:t>Формализация стратегии и разработка системы управления по</w:t>
      </w:r>
      <w:r w:rsidRPr="00580425">
        <w:rPr>
          <w:sz w:val="28"/>
          <w:szCs w:val="28"/>
          <w:lang w:eastAsia="en-US"/>
        </w:rPr>
        <w:t xml:space="preserve"> </w:t>
      </w:r>
      <w:r w:rsidRPr="00580425">
        <w:rPr>
          <w:sz w:val="28"/>
          <w:szCs w:val="28"/>
          <w:lang w:eastAsia="en-US"/>
        </w:rPr>
        <w:t>показателям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Выводы к главе 1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 xml:space="preserve">Глава 2. </w:t>
      </w:r>
      <w:r w:rsidRPr="00580425">
        <w:rPr>
          <w:sz w:val="28"/>
          <w:szCs w:val="28"/>
          <w:lang w:eastAsia="en-US"/>
        </w:rPr>
        <w:t xml:space="preserve">Оценка хозяйственной деятельности </w:t>
      </w:r>
      <w:r>
        <w:rPr>
          <w:sz w:val="28"/>
          <w:szCs w:val="28"/>
          <w:lang w:eastAsia="en-US"/>
        </w:rPr>
        <w:t>компании «</w:t>
      </w:r>
      <w:r>
        <w:rPr>
          <w:sz w:val="28"/>
          <w:szCs w:val="28"/>
          <w:lang w:val="en-US" w:eastAsia="en-US"/>
        </w:rPr>
        <w:t>Brandson</w:t>
      </w:r>
      <w:r>
        <w:rPr>
          <w:sz w:val="28"/>
          <w:szCs w:val="28"/>
          <w:lang w:eastAsia="en-US"/>
        </w:rPr>
        <w:t>»</w:t>
      </w:r>
    </w:p>
    <w:p w:rsidR="00580425" w:rsidRP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 xml:space="preserve">2.1 </w:t>
      </w:r>
      <w:r w:rsidRPr="00580425">
        <w:rPr>
          <w:sz w:val="28"/>
          <w:szCs w:val="28"/>
          <w:lang w:eastAsia="en-US"/>
        </w:rPr>
        <w:t>Краткая характеристика предприятия</w:t>
      </w:r>
    </w:p>
    <w:p w:rsid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 xml:space="preserve">2.2 </w:t>
      </w:r>
      <w:r w:rsidRPr="00580425">
        <w:rPr>
          <w:sz w:val="28"/>
          <w:szCs w:val="28"/>
          <w:lang w:eastAsia="en-US"/>
        </w:rPr>
        <w:t>Финансовый анализ предприятия</w:t>
      </w:r>
    </w:p>
    <w:p w:rsidR="00580425" w:rsidRP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 xml:space="preserve">2.3. </w:t>
      </w:r>
      <w:r>
        <w:rPr>
          <w:sz w:val="28"/>
          <w:szCs w:val="28"/>
          <w:lang w:eastAsia="en-US"/>
        </w:rPr>
        <w:t xml:space="preserve">Оценка рынка и конкурентной среды деятельности компании </w:t>
      </w:r>
      <w:r>
        <w:rPr>
          <w:sz w:val="28"/>
          <w:szCs w:val="28"/>
          <w:lang w:eastAsia="en-US"/>
        </w:rPr>
        <w:t>«</w:t>
      </w:r>
      <w:r>
        <w:rPr>
          <w:sz w:val="28"/>
          <w:szCs w:val="28"/>
          <w:lang w:val="en-US" w:eastAsia="en-US"/>
        </w:rPr>
        <w:t>Brandson</w:t>
      </w:r>
      <w:r>
        <w:rPr>
          <w:sz w:val="28"/>
          <w:szCs w:val="28"/>
          <w:lang w:eastAsia="en-US"/>
        </w:rPr>
        <w:t>»</w:t>
      </w:r>
    </w:p>
    <w:p w:rsidR="00580425" w:rsidRP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2.</w:t>
      </w:r>
      <w:r>
        <w:rPr>
          <w:sz w:val="28"/>
          <w:szCs w:val="28"/>
          <w:lang w:eastAsia="en-US"/>
        </w:rPr>
        <w:t>4</w:t>
      </w:r>
      <w:r w:rsidRPr="00580425">
        <w:rPr>
          <w:sz w:val="28"/>
          <w:szCs w:val="28"/>
          <w:lang w:eastAsia="en-US"/>
        </w:rPr>
        <w:t xml:space="preserve"> </w:t>
      </w:r>
      <w:r w:rsidRPr="00580425">
        <w:rPr>
          <w:sz w:val="28"/>
          <w:szCs w:val="28"/>
          <w:lang w:eastAsia="en-US"/>
        </w:rPr>
        <w:t>Анализ стратегий, реализуемых на предприятии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Выводы к главе 2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 xml:space="preserve">Глава 3. </w:t>
      </w:r>
      <w:r w:rsidRPr="00580425">
        <w:rPr>
          <w:sz w:val="28"/>
          <w:szCs w:val="28"/>
          <w:lang w:eastAsia="en-US"/>
        </w:rPr>
        <w:t xml:space="preserve">Разработка и формализация стратегии управления для </w:t>
      </w:r>
      <w:r w:rsidR="002964AE">
        <w:rPr>
          <w:sz w:val="28"/>
          <w:szCs w:val="28"/>
          <w:lang w:eastAsia="en-US"/>
        </w:rPr>
        <w:t>компании «</w:t>
      </w:r>
      <w:r w:rsidR="002964AE">
        <w:rPr>
          <w:sz w:val="28"/>
          <w:szCs w:val="28"/>
          <w:lang w:val="en-US" w:eastAsia="en-US"/>
        </w:rPr>
        <w:t>Brandson</w:t>
      </w:r>
      <w:r w:rsidR="002964AE">
        <w:rPr>
          <w:sz w:val="28"/>
          <w:szCs w:val="28"/>
          <w:lang w:eastAsia="en-US"/>
        </w:rPr>
        <w:t>»</w:t>
      </w:r>
    </w:p>
    <w:p w:rsidR="00580425" w:rsidRP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3.</w:t>
      </w:r>
      <w:r w:rsidR="002964AE">
        <w:rPr>
          <w:sz w:val="28"/>
          <w:szCs w:val="28"/>
          <w:lang w:eastAsia="en-US"/>
        </w:rPr>
        <w:t>1</w:t>
      </w:r>
      <w:r w:rsidRPr="00580425">
        <w:rPr>
          <w:sz w:val="28"/>
          <w:szCs w:val="28"/>
          <w:lang w:eastAsia="en-US"/>
        </w:rPr>
        <w:t xml:space="preserve"> </w:t>
      </w:r>
      <w:r w:rsidRPr="00580425">
        <w:rPr>
          <w:sz w:val="28"/>
          <w:szCs w:val="28"/>
          <w:lang w:eastAsia="en-US"/>
        </w:rPr>
        <w:t xml:space="preserve">Анализ альтернатив </w:t>
      </w:r>
      <w:r w:rsidR="002964AE">
        <w:rPr>
          <w:sz w:val="28"/>
          <w:szCs w:val="28"/>
          <w:lang w:eastAsia="en-US"/>
        </w:rPr>
        <w:t xml:space="preserve">изменения стратегического вектора </w:t>
      </w:r>
      <w:r w:rsidR="002964AE">
        <w:rPr>
          <w:sz w:val="28"/>
          <w:szCs w:val="28"/>
          <w:lang w:eastAsia="en-US"/>
        </w:rPr>
        <w:t>компании «</w:t>
      </w:r>
      <w:r w:rsidR="002964AE">
        <w:rPr>
          <w:sz w:val="28"/>
          <w:szCs w:val="28"/>
          <w:lang w:val="en-US" w:eastAsia="en-US"/>
        </w:rPr>
        <w:t>Brandson</w:t>
      </w:r>
      <w:r w:rsidR="002964AE">
        <w:rPr>
          <w:sz w:val="28"/>
          <w:szCs w:val="28"/>
          <w:lang w:eastAsia="en-US"/>
        </w:rPr>
        <w:t>»</w:t>
      </w:r>
    </w:p>
    <w:p w:rsid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3.</w:t>
      </w:r>
      <w:r w:rsidR="002964AE">
        <w:rPr>
          <w:sz w:val="28"/>
          <w:szCs w:val="28"/>
          <w:lang w:eastAsia="en-US"/>
        </w:rPr>
        <w:t>2</w:t>
      </w:r>
      <w:r w:rsidRPr="00580425">
        <w:rPr>
          <w:sz w:val="28"/>
          <w:szCs w:val="28"/>
          <w:lang w:eastAsia="en-US"/>
        </w:rPr>
        <w:t xml:space="preserve"> </w:t>
      </w:r>
      <w:r w:rsidRPr="00580425">
        <w:rPr>
          <w:sz w:val="28"/>
          <w:szCs w:val="28"/>
          <w:lang w:eastAsia="en-US"/>
        </w:rPr>
        <w:t xml:space="preserve">Разработка корпоративной стратегии </w:t>
      </w:r>
      <w:r w:rsidR="002964AE">
        <w:rPr>
          <w:sz w:val="28"/>
          <w:szCs w:val="28"/>
          <w:lang w:eastAsia="en-US"/>
        </w:rPr>
        <w:t xml:space="preserve">в </w:t>
      </w:r>
      <w:r w:rsidR="002964AE">
        <w:rPr>
          <w:sz w:val="28"/>
          <w:szCs w:val="28"/>
          <w:lang w:eastAsia="en-US"/>
        </w:rPr>
        <w:t>компании «</w:t>
      </w:r>
      <w:r w:rsidR="002964AE">
        <w:rPr>
          <w:sz w:val="28"/>
          <w:szCs w:val="28"/>
          <w:lang w:val="en-US" w:eastAsia="en-US"/>
        </w:rPr>
        <w:t>Brandson</w:t>
      </w:r>
      <w:r w:rsidR="002964AE">
        <w:rPr>
          <w:sz w:val="28"/>
          <w:szCs w:val="28"/>
          <w:lang w:eastAsia="en-US"/>
        </w:rPr>
        <w:t>»</w:t>
      </w:r>
      <w:r w:rsidRPr="00580425">
        <w:rPr>
          <w:sz w:val="28"/>
          <w:szCs w:val="28"/>
          <w:lang w:eastAsia="en-US"/>
        </w:rPr>
        <w:t xml:space="preserve"> </w:t>
      </w:r>
    </w:p>
    <w:p w:rsidR="00580425" w:rsidRDefault="00580425" w:rsidP="00B25EF6">
      <w:pPr>
        <w:spacing w:line="360" w:lineRule="auto"/>
        <w:ind w:left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2964AE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Оценка рисков и экономической эффективности реализации предложений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Выводы к главе 3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Заключение</w:t>
      </w:r>
    </w:p>
    <w:p w:rsidR="00580425" w:rsidRPr="00580425" w:rsidRDefault="00580425" w:rsidP="00580425">
      <w:pPr>
        <w:spacing w:line="360" w:lineRule="auto"/>
        <w:rPr>
          <w:sz w:val="28"/>
          <w:szCs w:val="28"/>
          <w:lang w:eastAsia="en-US"/>
        </w:rPr>
      </w:pPr>
      <w:r w:rsidRPr="00580425">
        <w:rPr>
          <w:sz w:val="28"/>
          <w:szCs w:val="28"/>
          <w:lang w:eastAsia="en-US"/>
        </w:rPr>
        <w:t>Список использованных источников</w:t>
      </w:r>
    </w:p>
    <w:p w:rsidR="00AC526E" w:rsidRPr="00580425" w:rsidRDefault="00580425" w:rsidP="00580425">
      <w:pPr>
        <w:spacing w:line="360" w:lineRule="auto"/>
        <w:rPr>
          <w:sz w:val="28"/>
          <w:szCs w:val="28"/>
        </w:rPr>
      </w:pPr>
      <w:r w:rsidRPr="00580425">
        <w:rPr>
          <w:sz w:val="28"/>
          <w:szCs w:val="28"/>
          <w:lang w:eastAsia="en-US"/>
        </w:rPr>
        <w:t>Приложение</w:t>
      </w:r>
      <w:bookmarkStart w:id="0" w:name="_GoBack"/>
      <w:bookmarkEnd w:id="0"/>
    </w:p>
    <w:sectPr w:rsidR="00AC526E" w:rsidRPr="0058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25"/>
    <w:rsid w:val="002964AE"/>
    <w:rsid w:val="00580425"/>
    <w:rsid w:val="00AC526E"/>
    <w:rsid w:val="00B2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4C37"/>
  <w15:chartTrackingRefBased/>
  <w15:docId w15:val="{204CCC0A-12BE-4250-94D4-F954A245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4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0425"/>
    <w:rPr>
      <w:color w:val="006666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80425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580425"/>
    <w:pPr>
      <w:tabs>
        <w:tab w:val="right" w:leader="dot" w:pos="9639"/>
      </w:tabs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8042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804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580425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5">
    <w:name w:val="No Spacing"/>
    <w:uiPriority w:val="1"/>
    <w:qFormat/>
    <w:rsid w:val="00580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2020-03-24T06:36:00Z</dcterms:created>
  <dcterms:modified xsi:type="dcterms:W3CDTF">2020-03-24T06:50:00Z</dcterms:modified>
</cp:coreProperties>
</file>